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476"/>
        <w:gridCol w:w="3044"/>
        <w:gridCol w:w="1264"/>
        <w:gridCol w:w="1756"/>
        <w:gridCol w:w="1843"/>
      </w:tblGrid>
      <w:tr w:rsidR="00715AF6" w14:paraId="1B59EEAC" w14:textId="77777777" w:rsidTr="00715AF6">
        <w:trPr>
          <w:cantSplit/>
          <w:trHeight w:hRule="exact" w:val="130"/>
        </w:trPr>
        <w:tc>
          <w:tcPr>
            <w:tcW w:w="20" w:type="dxa"/>
          </w:tcPr>
          <w:p w14:paraId="1AC402E5" w14:textId="77777777" w:rsidR="00715AF6" w:rsidRDefault="00715AF6" w:rsidP="00C53079">
            <w:pPr>
              <w:pStyle w:val="adresgegevens"/>
            </w:pPr>
          </w:p>
        </w:tc>
        <w:tc>
          <w:tcPr>
            <w:tcW w:w="10383" w:type="dxa"/>
            <w:gridSpan w:val="5"/>
          </w:tcPr>
          <w:p w14:paraId="76C26998" w14:textId="1FB9176A" w:rsidR="00715AF6" w:rsidRDefault="00715AF6" w:rsidP="00C53079">
            <w:pPr>
              <w:pStyle w:val="adresgegevens"/>
            </w:pPr>
          </w:p>
        </w:tc>
      </w:tr>
      <w:tr w:rsidR="00715AF6" w:rsidRPr="005B21AC" w14:paraId="685EEB0B" w14:textId="77777777" w:rsidTr="00715AF6">
        <w:trPr>
          <w:cantSplit/>
          <w:trHeight w:hRule="exact" w:val="326"/>
        </w:trPr>
        <w:tc>
          <w:tcPr>
            <w:tcW w:w="20" w:type="dxa"/>
          </w:tcPr>
          <w:p w14:paraId="3DEA819F" w14:textId="77777777" w:rsidR="00715AF6" w:rsidRPr="001476F5" w:rsidRDefault="00715AF6" w:rsidP="00C53079">
            <w:pPr>
              <w:rPr>
                <w:color w:val="FF0000"/>
                <w:lang w:val="nl-BE"/>
              </w:rPr>
            </w:pPr>
          </w:p>
        </w:tc>
        <w:tc>
          <w:tcPr>
            <w:tcW w:w="10383" w:type="dxa"/>
            <w:gridSpan w:val="5"/>
          </w:tcPr>
          <w:p w14:paraId="29DEEE0B" w14:textId="7438B0FB" w:rsidR="00715AF6" w:rsidRPr="001476F5" w:rsidRDefault="00715AF6" w:rsidP="00C53079">
            <w:pPr>
              <w:rPr>
                <w:color w:val="FF0000"/>
                <w:lang w:val="nl-BE"/>
              </w:rPr>
            </w:pPr>
          </w:p>
        </w:tc>
      </w:tr>
      <w:tr w:rsidR="00715AF6" w:rsidRPr="009F7323" w14:paraId="69155A92" w14:textId="687B9517" w:rsidTr="00715AF6">
        <w:trPr>
          <w:gridAfter w:val="1"/>
          <w:wAfter w:w="1843" w:type="dxa"/>
          <w:cantSplit/>
          <w:trHeight w:hRule="exact" w:val="824"/>
        </w:trPr>
        <w:tc>
          <w:tcPr>
            <w:tcW w:w="2496" w:type="dxa"/>
            <w:gridSpan w:val="2"/>
          </w:tcPr>
          <w:p w14:paraId="00A3A656" w14:textId="77777777" w:rsidR="00715AF6" w:rsidRPr="009F7323" w:rsidRDefault="00715AF6" w:rsidP="00C53079">
            <w:pPr>
              <w:pStyle w:val="kenmerken"/>
            </w:pPr>
            <w:r>
              <w:t>Votre message du</w:t>
            </w:r>
          </w:p>
          <w:p w14:paraId="2130EA1D" w14:textId="77777777" w:rsidR="00715AF6" w:rsidRPr="009F7323" w:rsidRDefault="00715AF6" w:rsidP="00C53079">
            <w:pPr>
              <w:pStyle w:val="kenmerken"/>
            </w:pPr>
          </w:p>
        </w:tc>
        <w:tc>
          <w:tcPr>
            <w:tcW w:w="3044" w:type="dxa"/>
          </w:tcPr>
          <w:p w14:paraId="3F29CCF9" w14:textId="01FC55C4" w:rsidR="00715AF6" w:rsidRPr="009F7323" w:rsidRDefault="00715AF6" w:rsidP="005B21AC">
            <w:pPr>
              <w:pStyle w:val="kenmerken"/>
            </w:pPr>
            <w:r>
              <w:t>Votre réf.</w:t>
            </w:r>
            <w:r w:rsidR="005B21AC" w:rsidRPr="009F7323">
              <w:t xml:space="preserve"> </w:t>
            </w:r>
          </w:p>
        </w:tc>
        <w:tc>
          <w:tcPr>
            <w:tcW w:w="1264" w:type="dxa"/>
          </w:tcPr>
          <w:p w14:paraId="41A93E0E" w14:textId="77777777" w:rsidR="00715AF6" w:rsidRPr="009F7323" w:rsidRDefault="00715AF6" w:rsidP="00C53079">
            <w:pPr>
              <w:pStyle w:val="kenmerken"/>
            </w:pPr>
            <w:r>
              <w:t>Notre réf.</w:t>
            </w:r>
          </w:p>
          <w:p w14:paraId="2F65EAF6" w14:textId="68A39452" w:rsidR="00715AF6" w:rsidRDefault="00715AF6" w:rsidP="00C53079">
            <w:pPr>
              <w:pStyle w:val="kenmerken"/>
            </w:pPr>
          </w:p>
          <w:p w14:paraId="14BE7183" w14:textId="292945C2" w:rsidR="005B21AC" w:rsidRPr="009F7323" w:rsidRDefault="005B21AC" w:rsidP="00C53079">
            <w:pPr>
              <w:pStyle w:val="kenmerken"/>
            </w:pPr>
          </w:p>
        </w:tc>
        <w:tc>
          <w:tcPr>
            <w:tcW w:w="1756" w:type="dxa"/>
          </w:tcPr>
          <w:p w14:paraId="5C605109" w14:textId="77777777" w:rsidR="00715AF6" w:rsidRDefault="00715AF6" w:rsidP="00C53079">
            <w:pPr>
              <w:pStyle w:val="kenmerken"/>
            </w:pPr>
            <w:r>
              <w:t xml:space="preserve">Melle </w:t>
            </w:r>
          </w:p>
          <w:p w14:paraId="68137582" w14:textId="1FA11FFB" w:rsidR="00715AF6" w:rsidRDefault="00715AF6" w:rsidP="00C53079">
            <w:pPr>
              <w:pStyle w:val="kenmerken"/>
            </w:pPr>
          </w:p>
        </w:tc>
      </w:tr>
    </w:tbl>
    <w:p w14:paraId="6A3643D2" w14:textId="75D3B46B" w:rsidR="00C06016" w:rsidRPr="00C06016" w:rsidRDefault="005B21AC" w:rsidP="00C06016">
      <w:pPr>
        <w:rPr>
          <w:b/>
        </w:rPr>
      </w:pPr>
      <w:r>
        <w:rPr>
          <w:b/>
          <w:color w:val="000000" w:themeColor="text1"/>
        </w:rPr>
        <w:t>Votre commune</w:t>
      </w:r>
      <w:r w:rsidR="00C06016" w:rsidRPr="005B21AC">
        <w:rPr>
          <w:b/>
          <w:color w:val="000000" w:themeColor="text1"/>
        </w:rPr>
        <w:t xml:space="preserve"> </w:t>
      </w:r>
      <w:r w:rsidR="00C06016">
        <w:rPr>
          <w:b/>
        </w:rPr>
        <w:t>passe du gaz pauvre au gaz riche</w:t>
      </w:r>
      <w:r w:rsidR="00715AF6">
        <w:rPr>
          <w:b/>
        </w:rPr>
        <w:tab/>
      </w:r>
    </w:p>
    <w:p w14:paraId="6E32C75A" w14:textId="6AD63B93" w:rsidR="00C06016" w:rsidRPr="00715AF6" w:rsidRDefault="00C06016" w:rsidP="00C06016">
      <w:pPr>
        <w:rPr>
          <w:sz w:val="20"/>
        </w:rPr>
      </w:pPr>
      <w:r w:rsidRPr="00715AF6">
        <w:rPr>
          <w:sz w:val="20"/>
        </w:rPr>
        <w:t>Cher client,</w:t>
      </w:r>
    </w:p>
    <w:p w14:paraId="2D16B8FD" w14:textId="159DCA84" w:rsidR="00C06016" w:rsidRPr="00715AF6" w:rsidRDefault="00E03462" w:rsidP="00C06016">
      <w:pPr>
        <w:rPr>
          <w:sz w:val="20"/>
        </w:rPr>
      </w:pPr>
      <w:r w:rsidRPr="00715AF6">
        <w:rPr>
          <w:sz w:val="20"/>
        </w:rPr>
        <w:t xml:space="preserve">À compter </w:t>
      </w:r>
      <w:r w:rsidRPr="00530190">
        <w:rPr>
          <w:color w:val="000000" w:themeColor="text1"/>
          <w:sz w:val="20"/>
        </w:rPr>
        <w:t xml:space="preserve">du </w:t>
      </w:r>
      <w:r w:rsidR="00E643CD">
        <w:rPr>
          <w:color w:val="000000" w:themeColor="text1"/>
          <w:sz w:val="20"/>
        </w:rPr>
        <w:t>1</w:t>
      </w:r>
      <w:r w:rsidR="00530190" w:rsidRPr="00530190">
        <w:rPr>
          <w:color w:val="000000" w:themeColor="text1"/>
          <w:sz w:val="20"/>
        </w:rPr>
        <w:t>/</w:t>
      </w:r>
      <w:r w:rsidR="00E643CD">
        <w:rPr>
          <w:color w:val="000000" w:themeColor="text1"/>
          <w:sz w:val="20"/>
        </w:rPr>
        <w:t>6</w:t>
      </w:r>
      <w:r w:rsidR="00530190" w:rsidRPr="00530190">
        <w:rPr>
          <w:color w:val="000000" w:themeColor="text1"/>
          <w:sz w:val="20"/>
        </w:rPr>
        <w:t>/2020</w:t>
      </w:r>
      <w:r w:rsidR="00C06016" w:rsidRPr="00530190">
        <w:rPr>
          <w:color w:val="000000" w:themeColor="text1"/>
          <w:sz w:val="20"/>
        </w:rPr>
        <w:t xml:space="preserve"> </w:t>
      </w:r>
      <w:proofErr w:type="spellStart"/>
      <w:r w:rsidR="00715AF6" w:rsidRPr="00530190">
        <w:rPr>
          <w:color w:val="000000" w:themeColor="text1"/>
          <w:sz w:val="20"/>
        </w:rPr>
        <w:t>Fluvius</w:t>
      </w:r>
      <w:proofErr w:type="spellEnd"/>
      <w:r w:rsidR="00715AF6" w:rsidRPr="00530190">
        <w:rPr>
          <w:color w:val="000000" w:themeColor="text1"/>
          <w:sz w:val="20"/>
        </w:rPr>
        <w:t xml:space="preserve"> f</w:t>
      </w:r>
      <w:r w:rsidR="00C06016" w:rsidRPr="00530190">
        <w:rPr>
          <w:color w:val="000000" w:themeColor="text1"/>
          <w:sz w:val="20"/>
        </w:rPr>
        <w:t xml:space="preserve">ournira </w:t>
      </w:r>
      <w:r w:rsidR="00530190">
        <w:rPr>
          <w:sz w:val="20"/>
        </w:rPr>
        <w:t>chez vous</w:t>
      </w:r>
      <w:r w:rsidRPr="00715AF6">
        <w:rPr>
          <w:b/>
          <w:color w:val="FF0000"/>
          <w:sz w:val="20"/>
        </w:rPr>
        <w:t xml:space="preserve"> </w:t>
      </w:r>
      <w:r w:rsidR="00C06016" w:rsidRPr="00715AF6">
        <w:rPr>
          <w:sz w:val="20"/>
        </w:rPr>
        <w:t>un autre type de gaz naturel. Cette échéance approchant à grands pas, nous vous recommandons de faire appel dès aujourd’hui à votre installateur ou à un technicien afin qu’il vérifie si vos appareils (chaudière, radiateurs, chauffe-eau, cuisinière et autres) sont tous prêts à accueillir ce nouveau gaz. Ne tardez pas si vous voulez être prêt à temps !</w:t>
      </w:r>
    </w:p>
    <w:p w14:paraId="5BC39980" w14:textId="77777777" w:rsidR="00C06016" w:rsidRPr="00715AF6" w:rsidRDefault="00C06016" w:rsidP="00C06016">
      <w:pPr>
        <w:rPr>
          <w:b/>
          <w:sz w:val="20"/>
        </w:rPr>
      </w:pPr>
      <w:r w:rsidRPr="00715AF6">
        <w:rPr>
          <w:b/>
          <w:sz w:val="20"/>
        </w:rPr>
        <w:t>Pourquoi ce changement ?</w:t>
      </w:r>
    </w:p>
    <w:p w14:paraId="79E4AA4C" w14:textId="77777777" w:rsidR="00C06016" w:rsidRPr="00715AF6" w:rsidRDefault="00C06016" w:rsidP="00C06016">
      <w:pPr>
        <w:rPr>
          <w:sz w:val="20"/>
        </w:rPr>
      </w:pPr>
      <w:r w:rsidRPr="00715AF6">
        <w:rPr>
          <w:sz w:val="20"/>
        </w:rPr>
        <w:t>Les Pays-Bas vont réduire leur approvisionnement de gaz pauvre vers la Belgique, avant de l’arrêter entièrement en 2030. Afin de garantir un approvisionnement à long terme des foyers belges, les autorités fédérales ont décidé de faire passer tout le pays au gaz riche.</w:t>
      </w:r>
    </w:p>
    <w:p w14:paraId="54662DE7" w14:textId="77777777" w:rsidR="00C06016" w:rsidRPr="00715AF6" w:rsidRDefault="00C06016" w:rsidP="00C06016">
      <w:pPr>
        <w:rPr>
          <w:b/>
          <w:sz w:val="20"/>
        </w:rPr>
      </w:pPr>
      <w:r w:rsidRPr="00715AF6">
        <w:rPr>
          <w:b/>
          <w:sz w:val="20"/>
        </w:rPr>
        <w:t>Que devez-vous faire ?</w:t>
      </w:r>
    </w:p>
    <w:p w14:paraId="6EFBE057" w14:textId="77777777" w:rsidR="00C06016" w:rsidRPr="00715AF6" w:rsidRDefault="00C06016" w:rsidP="00C06016">
      <w:pPr>
        <w:rPr>
          <w:sz w:val="20"/>
        </w:rPr>
      </w:pPr>
      <w:r w:rsidRPr="00715AF6">
        <w:rPr>
          <w:sz w:val="20"/>
        </w:rPr>
        <w:t>Dépêchez-vous de demander à votre installateur ou à un technicien de vérifier que vos appareils au gaz sont prêts pour ce nouveau type de gaz. Vous pouvez combiner ce contrôle avec la vérification bisannuelle obligatoire¹ de votre installation de chauffage. Pour de plus amples informations et pour trouver un technicien agréé près de chez vous, rendez-vous sur le site (en néerlandais) www.lne.be/veilig-verwarmen.</w:t>
      </w:r>
    </w:p>
    <w:p w14:paraId="4FDA593F" w14:textId="77777777" w:rsidR="00C06016" w:rsidRPr="00715AF6" w:rsidRDefault="00C06016" w:rsidP="00C06016">
      <w:pPr>
        <w:rPr>
          <w:sz w:val="20"/>
        </w:rPr>
      </w:pPr>
      <w:r w:rsidRPr="00715AF6">
        <w:rPr>
          <w:sz w:val="20"/>
        </w:rPr>
        <w:t xml:space="preserve">Vos appareils sont prêts pour le gaz riche ? Vous pouvez alors continuer à les utiliser </w:t>
      </w:r>
      <w:r w:rsidRPr="00530190">
        <w:rPr>
          <w:color w:val="000000" w:themeColor="text1"/>
          <w:sz w:val="20"/>
        </w:rPr>
        <w:t>après le 1</w:t>
      </w:r>
      <w:r w:rsidRPr="00530190">
        <w:rPr>
          <w:color w:val="000000" w:themeColor="text1"/>
          <w:sz w:val="20"/>
          <w:vertAlign w:val="superscript"/>
        </w:rPr>
        <w:t>er</w:t>
      </w:r>
      <w:r w:rsidRPr="00530190">
        <w:rPr>
          <w:color w:val="000000" w:themeColor="text1"/>
          <w:sz w:val="20"/>
        </w:rPr>
        <w:t> juin.</w:t>
      </w:r>
    </w:p>
    <w:p w14:paraId="069EB89B" w14:textId="41DC20F3" w:rsidR="00C06016" w:rsidRPr="00715AF6" w:rsidRDefault="00C06016" w:rsidP="00C06016">
      <w:pPr>
        <w:rPr>
          <w:sz w:val="20"/>
        </w:rPr>
      </w:pPr>
      <w:r w:rsidRPr="00715AF6">
        <w:rPr>
          <w:sz w:val="20"/>
        </w:rPr>
        <w:t xml:space="preserve">Si vos appareils doivent être réglés autrement ou s’ils doivent être </w:t>
      </w:r>
      <w:r w:rsidRPr="00530190">
        <w:rPr>
          <w:color w:val="000000" w:themeColor="text1"/>
          <w:sz w:val="20"/>
        </w:rPr>
        <w:t>partiellement ou entièrement remplacés, faites</w:t>
      </w:r>
      <w:r w:rsidR="00530190">
        <w:rPr>
          <w:color w:val="000000" w:themeColor="text1"/>
          <w:sz w:val="20"/>
        </w:rPr>
        <w:t>-</w:t>
      </w:r>
      <w:r w:rsidRPr="00530190">
        <w:rPr>
          <w:color w:val="000000" w:themeColor="text1"/>
          <w:sz w:val="20"/>
        </w:rPr>
        <w:t>en sorte que les actions nécessaires soient prises au plus tard pour fin mai 20</w:t>
      </w:r>
      <w:r w:rsidR="00E03462" w:rsidRPr="00530190">
        <w:rPr>
          <w:color w:val="000000" w:themeColor="text1"/>
          <w:sz w:val="20"/>
        </w:rPr>
        <w:t>20</w:t>
      </w:r>
      <w:r w:rsidRPr="00530190">
        <w:rPr>
          <w:color w:val="000000" w:themeColor="text1"/>
          <w:sz w:val="20"/>
        </w:rPr>
        <w:t>. Si vous n’avez pas pris les mesures qui s’imposent, vous ne pourrez plus utiliser vos appareils après le 1</w:t>
      </w:r>
      <w:r w:rsidRPr="00530190">
        <w:rPr>
          <w:color w:val="000000" w:themeColor="text1"/>
          <w:sz w:val="20"/>
          <w:vertAlign w:val="superscript"/>
        </w:rPr>
        <w:t>er</w:t>
      </w:r>
      <w:r w:rsidRPr="00530190">
        <w:rPr>
          <w:color w:val="000000" w:themeColor="text1"/>
          <w:sz w:val="20"/>
        </w:rPr>
        <w:t> juin. En effet</w:t>
      </w:r>
      <w:r w:rsidRPr="00715AF6">
        <w:rPr>
          <w:sz w:val="20"/>
        </w:rPr>
        <w:t>, ceux-ci ne fonctionneront plus de manière optimale. Ce serait également nocif pour l’environnement et dangereux pour votre santé, étant donné que ces appareils pourraient émettre de la suie et du CO.</w:t>
      </w:r>
    </w:p>
    <w:p w14:paraId="121CC94F" w14:textId="77777777" w:rsidR="00C06016" w:rsidRPr="00715AF6" w:rsidRDefault="00C06016" w:rsidP="00C06016">
      <w:pPr>
        <w:rPr>
          <w:b/>
          <w:sz w:val="20"/>
        </w:rPr>
      </w:pPr>
      <w:r w:rsidRPr="00715AF6">
        <w:rPr>
          <w:b/>
          <w:sz w:val="20"/>
        </w:rPr>
        <w:t>Faut-il changer quelque chose à votre compteur de gaz ?</w:t>
      </w:r>
    </w:p>
    <w:p w14:paraId="75639B9C" w14:textId="184DE7BE" w:rsidR="00C06016" w:rsidRPr="00715AF6" w:rsidRDefault="00C06016" w:rsidP="00C06016">
      <w:pPr>
        <w:rPr>
          <w:sz w:val="20"/>
        </w:rPr>
      </w:pPr>
      <w:r w:rsidRPr="00715AF6">
        <w:rPr>
          <w:sz w:val="20"/>
        </w:rPr>
        <w:t xml:space="preserve">Oui, </w:t>
      </w:r>
      <w:proofErr w:type="spellStart"/>
      <w:r w:rsidR="00715AF6" w:rsidRPr="00715AF6">
        <w:rPr>
          <w:sz w:val="20"/>
        </w:rPr>
        <w:t>Fluvius</w:t>
      </w:r>
      <w:proofErr w:type="spellEnd"/>
      <w:r w:rsidRPr="00715AF6">
        <w:rPr>
          <w:sz w:val="20"/>
        </w:rPr>
        <w:t xml:space="preserve"> passera chez vous pour remplacer le régulateur de pression de votre compteur de gaz. Vous recevrez bientôt d’autres informations à ce sujet.</w:t>
      </w:r>
    </w:p>
    <w:p w14:paraId="1C647251" w14:textId="77777777" w:rsidR="00C06016" w:rsidRPr="00C06016" w:rsidRDefault="00C06016" w:rsidP="00C06016">
      <w:pPr>
        <w:rPr>
          <w:b/>
        </w:rPr>
      </w:pPr>
      <w:r>
        <w:rPr>
          <w:b/>
        </w:rPr>
        <w:t>Vous êtes locataire ou propriétaire d’un bien loué ?</w:t>
      </w:r>
    </w:p>
    <w:p w14:paraId="54824698" w14:textId="77777777" w:rsidR="00C06016" w:rsidRPr="00530190" w:rsidRDefault="00C06016" w:rsidP="00C06016">
      <w:pPr>
        <w:rPr>
          <w:color w:val="000000" w:themeColor="text1"/>
          <w:sz w:val="20"/>
        </w:rPr>
      </w:pPr>
      <w:r w:rsidRPr="00530190">
        <w:rPr>
          <w:color w:val="000000" w:themeColor="text1"/>
          <w:sz w:val="20"/>
        </w:rPr>
        <w:t>Prenez contact sans tarder avec votre propriétaire ou votre locataire, afin d’organiser le contrôle des installations et de procéder aux ajustements et remplacements éventuels.</w:t>
      </w:r>
    </w:p>
    <w:p w14:paraId="06447CF0" w14:textId="77777777" w:rsidR="00C06016" w:rsidRPr="00C06016" w:rsidRDefault="00C06016" w:rsidP="00C06016">
      <w:pPr>
        <w:rPr>
          <w:b/>
        </w:rPr>
      </w:pPr>
      <w:r>
        <w:rPr>
          <w:b/>
        </w:rPr>
        <w:t>Vous avez d’autres questions ?</w:t>
      </w:r>
    </w:p>
    <w:p w14:paraId="0C79C787" w14:textId="77777777" w:rsidR="00C06016" w:rsidRPr="00530190" w:rsidRDefault="00C06016" w:rsidP="00C06016">
      <w:pPr>
        <w:rPr>
          <w:color w:val="000000" w:themeColor="text1"/>
          <w:sz w:val="20"/>
        </w:rPr>
      </w:pPr>
      <w:r w:rsidRPr="00530190">
        <w:rPr>
          <w:color w:val="000000" w:themeColor="text1"/>
          <w:sz w:val="20"/>
        </w:rPr>
        <w:t>N’hésitez pas à nous contacter au 078 35 35 34, ou consultez notre site Web https://www.legazchange.be.</w:t>
      </w:r>
    </w:p>
    <w:p w14:paraId="36E82C55" w14:textId="77777777" w:rsidR="00C06016" w:rsidRPr="00E03462" w:rsidRDefault="00C06016" w:rsidP="00C06016"/>
    <w:p w14:paraId="03F98BC1" w14:textId="77777777" w:rsidR="00C06016" w:rsidRPr="00530190" w:rsidRDefault="00C06016" w:rsidP="00C06016">
      <w:pPr>
        <w:rPr>
          <w:color w:val="000000" w:themeColor="text1"/>
          <w:sz w:val="20"/>
        </w:rPr>
      </w:pPr>
      <w:r w:rsidRPr="00530190">
        <w:rPr>
          <w:color w:val="000000" w:themeColor="text1"/>
          <w:sz w:val="20"/>
        </w:rPr>
        <w:t>Cordialement,</w:t>
      </w:r>
    </w:p>
    <w:p w14:paraId="3F9BB656" w14:textId="77777777" w:rsidR="00C06016" w:rsidRPr="00530190" w:rsidRDefault="00C06016" w:rsidP="00C06016">
      <w:pPr>
        <w:rPr>
          <w:color w:val="000000" w:themeColor="text1"/>
          <w:sz w:val="20"/>
        </w:rPr>
      </w:pPr>
      <w:r w:rsidRPr="00530190">
        <w:rPr>
          <w:color w:val="000000" w:themeColor="text1"/>
          <w:sz w:val="20"/>
        </w:rPr>
        <w:t xml:space="preserve">Wim Den </w:t>
      </w:r>
      <w:proofErr w:type="spellStart"/>
      <w:r w:rsidRPr="00530190">
        <w:rPr>
          <w:color w:val="000000" w:themeColor="text1"/>
          <w:sz w:val="20"/>
        </w:rPr>
        <w:t>Roover</w:t>
      </w:r>
      <w:proofErr w:type="spellEnd"/>
    </w:p>
    <w:p w14:paraId="62E35D41" w14:textId="360BA02C" w:rsidR="008D191D" w:rsidRPr="00530190" w:rsidRDefault="00C06016" w:rsidP="00C06016">
      <w:pPr>
        <w:rPr>
          <w:color w:val="000000" w:themeColor="text1"/>
          <w:sz w:val="20"/>
        </w:rPr>
      </w:pPr>
      <w:r w:rsidRPr="00530190">
        <w:rPr>
          <w:color w:val="000000" w:themeColor="text1"/>
          <w:sz w:val="20"/>
        </w:rPr>
        <w:t>Directeur Exploitation Réseaux</w:t>
      </w:r>
    </w:p>
    <w:sectPr w:rsidR="008D191D" w:rsidRPr="005301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23BC" w14:textId="77777777" w:rsidR="003E6FAF" w:rsidRDefault="003E6FAF" w:rsidP="00715AF6">
      <w:pPr>
        <w:spacing w:after="0" w:line="240" w:lineRule="auto"/>
      </w:pPr>
      <w:r>
        <w:separator/>
      </w:r>
    </w:p>
  </w:endnote>
  <w:endnote w:type="continuationSeparator" w:id="0">
    <w:p w14:paraId="4FCBE822" w14:textId="77777777" w:rsidR="003E6FAF" w:rsidRDefault="003E6FAF" w:rsidP="0071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E5C9" w14:textId="2DD96E85" w:rsidR="00715AF6" w:rsidRPr="00C06016" w:rsidRDefault="00715AF6" w:rsidP="00715AF6">
    <w:proofErr w:type="gramStart"/>
    <w:r w:rsidRPr="00715AF6">
      <w:rPr>
        <w:sz w:val="18"/>
      </w:rPr>
      <w:t>¹</w:t>
    </w:r>
    <w:proofErr w:type="gramEnd"/>
    <w:r w:rsidRPr="00715AF6">
      <w:rPr>
        <w:sz w:val="18"/>
      </w:rPr>
      <w:tab/>
      <w:t>Arrêté du Gouvernement flamand du 8 décembre 2006 relatif à l’entretien et au contrôle d’appareils de chauffage (central) pour le chauffage de bâtiments ou pour la production d’eau chaude utilitaire</w:t>
    </w:r>
  </w:p>
  <w:p w14:paraId="35FFA955" w14:textId="056925BD" w:rsidR="00715AF6" w:rsidRDefault="00715AF6">
    <w:pPr>
      <w:pStyle w:val="Pieddepage"/>
    </w:pPr>
  </w:p>
  <w:p w14:paraId="34433771" w14:textId="77777777" w:rsidR="00715AF6" w:rsidRDefault="00715A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B30CE" w14:textId="77777777" w:rsidR="003E6FAF" w:rsidRDefault="003E6FAF" w:rsidP="00715AF6">
      <w:pPr>
        <w:spacing w:after="0" w:line="240" w:lineRule="auto"/>
      </w:pPr>
      <w:r>
        <w:separator/>
      </w:r>
    </w:p>
  </w:footnote>
  <w:footnote w:type="continuationSeparator" w:id="0">
    <w:p w14:paraId="55F2D076" w14:textId="77777777" w:rsidR="003E6FAF" w:rsidRDefault="003E6FAF" w:rsidP="0071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96A7" w14:textId="0EFC180F" w:rsidR="00715AF6" w:rsidRDefault="005B21A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8CE24" wp14:editId="268D6A53">
          <wp:simplePos x="0" y="0"/>
          <wp:positionH relativeFrom="column">
            <wp:posOffset>4552950</wp:posOffset>
          </wp:positionH>
          <wp:positionV relativeFrom="paragraph">
            <wp:posOffset>-68580</wp:posOffset>
          </wp:positionV>
          <wp:extent cx="1459865" cy="696595"/>
          <wp:effectExtent l="0" t="0" r="0" b="8255"/>
          <wp:wrapNone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AF6">
      <w:rPr>
        <w:noProof/>
      </w:rPr>
      <w:drawing>
        <wp:inline distT="0" distB="0" distL="0" distR="0" wp14:anchorId="5BEAFD53" wp14:editId="4E5A6E27">
          <wp:extent cx="1075167" cy="53401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3655" cy="538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C2638" w14:textId="77777777" w:rsidR="00715AF6" w:rsidRDefault="00715A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16"/>
    <w:rsid w:val="00094401"/>
    <w:rsid w:val="003E6FAF"/>
    <w:rsid w:val="00495DAD"/>
    <w:rsid w:val="00530190"/>
    <w:rsid w:val="00535AE0"/>
    <w:rsid w:val="005B21AC"/>
    <w:rsid w:val="00661A94"/>
    <w:rsid w:val="00715AF6"/>
    <w:rsid w:val="00716E8E"/>
    <w:rsid w:val="008D191D"/>
    <w:rsid w:val="00C06016"/>
    <w:rsid w:val="00C26D27"/>
    <w:rsid w:val="00E03462"/>
    <w:rsid w:val="00E315F4"/>
    <w:rsid w:val="00E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0DD9"/>
  <w15:chartTrackingRefBased/>
  <w15:docId w15:val="{CC901784-57F9-47D9-8767-520D8CD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gegevens">
    <w:name w:val="adresgegevens"/>
    <w:basedOn w:val="Normal"/>
    <w:rsid w:val="00715AF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nl-BE"/>
    </w:rPr>
  </w:style>
  <w:style w:type="table" w:styleId="Grilledutableau">
    <w:name w:val="Table Grid"/>
    <w:basedOn w:val="TableauNormal"/>
    <w:rsid w:val="00715AF6"/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en">
    <w:name w:val="kenmerken"/>
    <w:basedOn w:val="Normal"/>
    <w:rsid w:val="00715AF6"/>
    <w:pPr>
      <w:spacing w:after="0" w:line="180" w:lineRule="exact"/>
    </w:pPr>
    <w:rPr>
      <w:rFonts w:ascii="Arial" w:eastAsia="Times New Roman" w:hAnsi="Arial" w:cs="Times New Roman"/>
      <w:sz w:val="14"/>
      <w:szCs w:val="14"/>
      <w:lang w:eastAsia="nl-BE"/>
    </w:rPr>
  </w:style>
  <w:style w:type="paragraph" w:styleId="En-tte">
    <w:name w:val="header"/>
    <w:basedOn w:val="Normal"/>
    <w:link w:val="En-tteCar"/>
    <w:uiPriority w:val="99"/>
    <w:unhideWhenUsed/>
    <w:rsid w:val="0071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AF6"/>
  </w:style>
  <w:style w:type="paragraph" w:styleId="Pieddepage">
    <w:name w:val="footer"/>
    <w:basedOn w:val="Normal"/>
    <w:link w:val="PieddepageCar"/>
    <w:uiPriority w:val="99"/>
    <w:unhideWhenUsed/>
    <w:rsid w:val="0071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AF6"/>
  </w:style>
  <w:style w:type="character" w:styleId="Lienhypertexte">
    <w:name w:val="Hyperlink"/>
    <w:basedOn w:val="Policepardfaut"/>
    <w:semiHidden/>
    <w:unhideWhenUsed/>
    <w:rsid w:val="00530190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semiHidden/>
    <w:unhideWhenUsed/>
    <w:rsid w:val="00530190"/>
    <w:pPr>
      <w:spacing w:line="240" w:lineRule="auto"/>
    </w:pPr>
    <w:rPr>
      <w:rFonts w:ascii="Arial" w:eastAsia="Times New Roman" w:hAnsi="Arial" w:cs="Times New Roman"/>
      <w:sz w:val="20"/>
      <w:szCs w:val="20"/>
      <w:lang w:val="nl-BE" w:eastAsia="nl-BE"/>
    </w:rPr>
  </w:style>
  <w:style w:type="character" w:customStyle="1" w:styleId="CommentaireCar">
    <w:name w:val="Commentaire Car"/>
    <w:basedOn w:val="Policepardfaut"/>
    <w:link w:val="Commentaire"/>
    <w:semiHidden/>
    <w:rsid w:val="00530190"/>
    <w:rPr>
      <w:rFonts w:ascii="Arial" w:eastAsia="Times New Roman" w:hAnsi="Arial" w:cs="Times New Roman"/>
      <w:sz w:val="20"/>
      <w:szCs w:val="20"/>
      <w:lang w:val="nl-BE" w:eastAsia="nl-BE"/>
    </w:rPr>
  </w:style>
  <w:style w:type="paragraph" w:customStyle="1" w:styleId="Onderwerp">
    <w:name w:val="Onderwerp"/>
    <w:basedOn w:val="Normal"/>
    <w:next w:val="Normal"/>
    <w:rsid w:val="00530190"/>
    <w:pPr>
      <w:spacing w:after="480" w:line="256" w:lineRule="auto"/>
    </w:pPr>
    <w:rPr>
      <w:rFonts w:ascii="Arial" w:eastAsia="Times New Roman" w:hAnsi="Arial" w:cs="Times New Roman"/>
      <w:b/>
      <w:bCs/>
      <w:sz w:val="18"/>
      <w:szCs w:val="24"/>
      <w:lang w:val="nl-BE" w:eastAsia="nl-BE"/>
    </w:rPr>
  </w:style>
  <w:style w:type="character" w:styleId="Marquedecommentaire">
    <w:name w:val="annotation reference"/>
    <w:basedOn w:val="Policepardfaut"/>
    <w:semiHidden/>
    <w:unhideWhenUsed/>
    <w:rsid w:val="0053019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0700FF9D9D040AA8F54FA21326652" ma:contentTypeVersion="2" ma:contentTypeDescription="Een nieuw document maken." ma:contentTypeScope="" ma:versionID="82e7018cfa727e41b352e949a51b8a6b">
  <xsd:schema xmlns:xsd="http://www.w3.org/2001/XMLSchema" xmlns:xs="http://www.w3.org/2001/XMLSchema" xmlns:p="http://schemas.microsoft.com/office/2006/metadata/properties" xmlns:ns2="a2723db3-94de-4c7b-b20a-d631b20bec75" targetNamespace="http://schemas.microsoft.com/office/2006/metadata/properties" ma:root="true" ma:fieldsID="7d29440a54ffb63ab7c34677e6e0dac1" ns2:_="">
    <xsd:import namespace="a2723db3-94de-4c7b-b20a-d631b20be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23db3-94de-4c7b-b20a-d631b20b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CD724-D4D7-425E-9AD4-D5256F342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6E551-77D6-4B5B-A0AE-81E14BA91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87F31-B960-4220-822A-62F66B37B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23db3-94de-4c7b-b20a-d631b20be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Tivisse</dc:creator>
  <cp:keywords/>
  <dc:description/>
  <cp:lastModifiedBy>Alain Van Herck</cp:lastModifiedBy>
  <cp:revision>2</cp:revision>
  <dcterms:created xsi:type="dcterms:W3CDTF">2020-08-13T04:47:00Z</dcterms:created>
  <dcterms:modified xsi:type="dcterms:W3CDTF">2020-08-13T04:47:00Z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0x0101001EC0700FF9D9D040AA8F54FA21326652</vt:lpwstr>
  </property>
</Properties>
</file>